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3129" w14:textId="144CA43E" w:rsidR="005D6A41" w:rsidRPr="000938B9" w:rsidRDefault="00217F4C" w:rsidP="000938B9">
      <w:pPr>
        <w:jc w:val="center"/>
        <w:rPr>
          <w:b/>
          <w:sz w:val="28"/>
        </w:rPr>
      </w:pPr>
      <w:bookmarkStart w:id="0" w:name="_GoBack"/>
      <w:bookmarkEnd w:id="0"/>
      <w:r w:rsidRPr="000938B9">
        <w:rPr>
          <w:b/>
          <w:sz w:val="28"/>
        </w:rPr>
        <w:t xml:space="preserve">Retningslinjer for arrangementer i Tromsø kommunes idrettshaller – Gjeldende fra </w:t>
      </w:r>
      <w:r w:rsidR="00D95B9F">
        <w:rPr>
          <w:b/>
          <w:sz w:val="28"/>
        </w:rPr>
        <w:t>30</w:t>
      </w:r>
      <w:r w:rsidR="000938B9">
        <w:rPr>
          <w:b/>
          <w:sz w:val="28"/>
        </w:rPr>
        <w:t>.09.2020</w:t>
      </w:r>
    </w:p>
    <w:p w14:paraId="259B2F79" w14:textId="02D98278" w:rsidR="00217F4C" w:rsidRDefault="00217F4C"/>
    <w:p w14:paraId="544359F4" w14:textId="77777777" w:rsidR="005029F5" w:rsidRDefault="005029F5" w:rsidP="005029F5">
      <w:pPr>
        <w:rPr>
          <w:b/>
        </w:rPr>
      </w:pPr>
      <w:r>
        <w:rPr>
          <w:b/>
        </w:rPr>
        <w:t>Generelt</w:t>
      </w:r>
    </w:p>
    <w:p w14:paraId="1F1B67A5" w14:textId="77777777" w:rsidR="0092469F" w:rsidRDefault="00757EF0" w:rsidP="005029F5">
      <w:r>
        <w:t xml:space="preserve">Det åpnes for at idrettslag og foreninger kan gjennomføre arrangement i Tromsø kommunes idrettsanlegg. </w:t>
      </w:r>
    </w:p>
    <w:p w14:paraId="795C5AE0" w14:textId="78137FD1" w:rsidR="00757EF0" w:rsidRDefault="00757EF0" w:rsidP="005029F5">
      <w:r>
        <w:t>Med arrangement menes her aktivitet, som f</w:t>
      </w:r>
      <w:r w:rsidR="00172F1C">
        <w:t xml:space="preserve">or </w:t>
      </w:r>
      <w:r>
        <w:t>eks</w:t>
      </w:r>
      <w:r w:rsidR="00172F1C">
        <w:t>empel</w:t>
      </w:r>
      <w:r>
        <w:t xml:space="preserve"> kamper, cuper, stevner utover ordinær trening. Treningskamper eller interne arrangementer vil kunne regnes som arrangement, dersom det samler publikum. </w:t>
      </w:r>
    </w:p>
    <w:p w14:paraId="1D3B8F21" w14:textId="0DC96B26" w:rsidR="00757EF0" w:rsidRDefault="00B112BE" w:rsidP="005029F5">
      <w:r>
        <w:t xml:space="preserve">Det åpnes for unntak </w:t>
      </w:r>
      <w:r w:rsidR="00100F2F">
        <w:t>fra retningslinjer om kontakt og 1-metersregel</w:t>
      </w:r>
      <w:r>
        <w:t xml:space="preserve"> for følgende brukergrupper</w:t>
      </w:r>
      <w:r w:rsidR="00757EF0">
        <w:t>;</w:t>
      </w:r>
    </w:p>
    <w:p w14:paraId="72D9AD5E" w14:textId="1ADD95CC" w:rsidR="00757EF0" w:rsidRDefault="00757EF0" w:rsidP="00757EF0">
      <w:pPr>
        <w:pStyle w:val="Listeavsnitt"/>
        <w:numPr>
          <w:ilvl w:val="0"/>
          <w:numId w:val="4"/>
        </w:numPr>
      </w:pPr>
      <w:r>
        <w:t xml:space="preserve">Utøvere under 20 år som deltar i idrettsarrangement som gjennomføres innenfor samme idrettskrets eller innenfor samme region der region brukes som </w:t>
      </w:r>
      <w:r w:rsidR="00172F1C">
        <w:t>geografisk</w:t>
      </w:r>
      <w:r>
        <w:t xml:space="preserve"> avgrensing.</w:t>
      </w:r>
    </w:p>
    <w:p w14:paraId="0E288AC2" w14:textId="2314DED1" w:rsidR="00757EF0" w:rsidRDefault="00757EF0" w:rsidP="005029F5">
      <w:pPr>
        <w:pStyle w:val="Listeavsnitt"/>
        <w:numPr>
          <w:ilvl w:val="0"/>
          <w:numId w:val="4"/>
        </w:numPr>
      </w:pPr>
      <w:r>
        <w:t>Toppidrettsutøvere/eliteidrett som gjennomfører idrettsarrangement.</w:t>
      </w:r>
    </w:p>
    <w:p w14:paraId="3E3A9E45" w14:textId="1D3A16AA" w:rsidR="000938B9" w:rsidRDefault="000938B9" w:rsidP="00792549">
      <w:r>
        <w:t>For resterende brukergrupper i hallen gjelder de generelle retningslinjene om redusert kontakt og 1 meters avstand. Dette følger folkehelseinstituttets veileder for arrangement.</w:t>
      </w:r>
    </w:p>
    <w:p w14:paraId="72B4AA6D" w14:textId="0320561E" w:rsidR="00792549" w:rsidRDefault="00792549" w:rsidP="00792549">
      <w:r>
        <w:t xml:space="preserve">Det er viktig å presisere at unntaket kun gjelder for gjennomføring av arrangementet. I forkant og etterkant vil alle være nødt til å overholde </w:t>
      </w:r>
      <w:r w:rsidR="00041238">
        <w:t>retningslinjer for smittevern.</w:t>
      </w:r>
    </w:p>
    <w:p w14:paraId="0A94710D" w14:textId="44E08B80" w:rsidR="00100F2F" w:rsidRPr="00100F2F" w:rsidRDefault="00100F2F" w:rsidP="00792549">
      <w:pPr>
        <w:rPr>
          <w:u w:val="single"/>
        </w:rPr>
      </w:pPr>
      <w:r w:rsidRPr="00100F2F">
        <w:rPr>
          <w:u w:val="single"/>
        </w:rPr>
        <w:t xml:space="preserve">Det er viktig å presisere at syke eller personer med noen form for luftveissymptomer ikke skal delta eller overvære arrangementet. </w:t>
      </w:r>
    </w:p>
    <w:p w14:paraId="2D2244EA" w14:textId="77777777" w:rsidR="003C1AEA" w:rsidRPr="00217F4C" w:rsidRDefault="003C1AEA" w:rsidP="003C1AEA">
      <w:pPr>
        <w:rPr>
          <w:b/>
        </w:rPr>
      </w:pPr>
      <w:r w:rsidRPr="00217F4C">
        <w:rPr>
          <w:b/>
        </w:rPr>
        <w:t>Rutiner</w:t>
      </w:r>
    </w:p>
    <w:p w14:paraId="67C02C64" w14:textId="7BAF728C" w:rsidR="003E3F0B" w:rsidRDefault="003C1AEA" w:rsidP="003C1AEA">
      <w:r>
        <w:t xml:space="preserve">Arrangører plikter å utarbeide en egen oversikt over smittevernstiltak og rutiner for å ivareta FHI, Særforbunds og kommunens retningslinjer for gjennomføring av arrangementer. Dette skal oversendes kommunen </w:t>
      </w:r>
      <w:r w:rsidR="00F049D2">
        <w:t xml:space="preserve">v/idrett-drift </w:t>
      </w:r>
      <w:r>
        <w:t>i forkant av arrangement.</w:t>
      </w:r>
      <w:r w:rsidR="001F4D8C">
        <w:t xml:space="preserve"> Oversikten kan gjelde for flere arrangementer frem i tid, men vil kreves oppdatert dersom retningslinjene endres.</w:t>
      </w:r>
    </w:p>
    <w:p w14:paraId="01A93855" w14:textId="7C8AB99D" w:rsidR="000938B9" w:rsidRDefault="003C1AEA">
      <w:r>
        <w:t xml:space="preserve">Inkludert i rutinene skal det være rutiner for deltakerregistrering </w:t>
      </w:r>
      <w:r w:rsidR="001F4D8C">
        <w:t xml:space="preserve">som kan </w:t>
      </w:r>
      <w:r w:rsidR="00535CB9">
        <w:t>muliggjøre</w:t>
      </w:r>
      <w:r w:rsidR="001F4D8C">
        <w:t xml:space="preserve"> smitteoppsporing for kommunen.</w:t>
      </w:r>
    </w:p>
    <w:p w14:paraId="53137953" w14:textId="14CA66B7" w:rsidR="003C1AEA" w:rsidRDefault="000938B9">
      <w:r>
        <w:t>Det ansvarlige idrettslaget skal sørge for at de som arrangører har gode rutiner for gjennomføring av arrangementet, at retningslinjene for smittevern blir overholdt. Dersom det er forskjeller på retningslinjene hos særforbund, Norges Idrettsforbund og Tromsø kommune, skal de strengeste retningslinjene følges.</w:t>
      </w:r>
    </w:p>
    <w:p w14:paraId="33D325B7" w14:textId="56E2DC80" w:rsidR="003E3F0B" w:rsidRDefault="003E3F0B">
      <w:r>
        <w:t xml:space="preserve">For øvrig henvises det til FHI for videre veiledning ved planlegging og gjennomføring av arrangement – </w:t>
      </w:r>
      <w:hyperlink r:id="rId8" w:history="1">
        <w:r w:rsidRPr="003E3F0B">
          <w:rPr>
            <w:rStyle w:val="Hyperkobling"/>
          </w:rPr>
          <w:t>les mer her</w:t>
        </w:r>
      </w:hyperlink>
    </w:p>
    <w:p w14:paraId="355F5AA2" w14:textId="08CD9D2D" w:rsidR="00217F4C" w:rsidRPr="00217F4C" w:rsidRDefault="00217F4C">
      <w:pPr>
        <w:rPr>
          <w:b/>
        </w:rPr>
      </w:pPr>
      <w:r w:rsidRPr="00217F4C">
        <w:rPr>
          <w:b/>
        </w:rPr>
        <w:t>Antall</w:t>
      </w:r>
    </w:p>
    <w:p w14:paraId="4A952AA8" w14:textId="1A488A5F" w:rsidR="00D22A0D" w:rsidRDefault="00217F4C">
      <w:r>
        <w:t>Det er tillatt med arrangementer for inntil 200 personer samtidig. Dette inkluderer utøvere, tilskuere og eventuelle foresatte/søsken/ledsagere som er tilstede uten å ha</w:t>
      </w:r>
      <w:r w:rsidR="000938B9">
        <w:t xml:space="preserve"> konkrete</w:t>
      </w:r>
      <w:r>
        <w:t xml:space="preserve"> oppgaver i tilknytning arrangementet. </w:t>
      </w:r>
    </w:p>
    <w:p w14:paraId="5508201B" w14:textId="7E698B38" w:rsidR="00217F4C" w:rsidRDefault="00217F4C">
      <w:r>
        <w:t>Personer med oppgaver i tilknytning til gjennomføring av arrangementet regnes ikke inn i deltakerant</w:t>
      </w:r>
      <w:r w:rsidR="00792549">
        <w:t xml:space="preserve">allet, dette gjelder for </w:t>
      </w:r>
      <w:r>
        <w:t>eks</w:t>
      </w:r>
      <w:r w:rsidR="00792549">
        <w:t>empel</w:t>
      </w:r>
      <w:r>
        <w:t xml:space="preserve">; </w:t>
      </w:r>
      <w:r w:rsidR="00A81A9F">
        <w:t xml:space="preserve">dommere, </w:t>
      </w:r>
      <w:r w:rsidR="009722D4">
        <w:t>sekretariat</w:t>
      </w:r>
      <w:r w:rsidR="00A81A9F">
        <w:t>, kiosksalg, vakter etc.</w:t>
      </w:r>
    </w:p>
    <w:p w14:paraId="78F38D54" w14:textId="7DC263E2" w:rsidR="00A81A9F" w:rsidRDefault="00F101F5">
      <w:r>
        <w:lastRenderedPageBreak/>
        <w:t xml:space="preserve">Det åpnes for at det kan være flere grupper á 200 personer i hallen i løpet av en dag, men maksimalantallet for utøvere/tilskuere </w:t>
      </w:r>
      <w:r w:rsidR="000938B9">
        <w:t>samtidig, skal</w:t>
      </w:r>
      <w:r>
        <w:t xml:space="preserve"> aldri overstige 200.</w:t>
      </w:r>
      <w:r w:rsidR="009722D4">
        <w:t xml:space="preserve"> Ved en utskifting av gruppene er det viktig at hver gruppe behandles som en kohort og at gruppen ikke møtes/blandes ved utskiftning.</w:t>
      </w:r>
      <w:r w:rsidR="00D22A0D">
        <w:t xml:space="preserve"> Det kreves at ansvarlig idrettslag planlegger arrangementet slik at forskjellige brukergrupper ikke blandes.</w:t>
      </w:r>
      <w:r w:rsidR="00172F1C">
        <w:t xml:space="preserve"> Dersom det er forskjellige idrettslag som planlegger etterfølgende arrangement i samme hall kreves det at de forskjellige idrettslagene koordinerer sine arrangementer, slik at blanding av kohortene unngås.</w:t>
      </w:r>
    </w:p>
    <w:p w14:paraId="257EDE60" w14:textId="2AFEF831" w:rsidR="00DE3BE6" w:rsidRDefault="00DE3BE6">
      <w:pPr>
        <w:rPr>
          <w:b/>
        </w:rPr>
      </w:pPr>
      <w:r w:rsidRPr="00DE3BE6">
        <w:rPr>
          <w:b/>
        </w:rPr>
        <w:t>Ved flere arrangement</w:t>
      </w:r>
    </w:p>
    <w:p w14:paraId="12844C6A" w14:textId="36EB201B" w:rsidR="00DE3BE6" w:rsidRPr="00DE3BE6" w:rsidRDefault="00DE3BE6">
      <w:r>
        <w:t xml:space="preserve">Dersom det er flere arrangement i en og samme hall, på samme tid, vil anlegget fortsatt ha en maksimal begrensning på 200 deltakere. Det vil være opp til idrettslagene som ansvarlige arrangører å koordinere dette seg imellom. Publikum og deltakermassen på de </w:t>
      </w:r>
      <w:r w:rsidR="00112C23">
        <w:t>paralelle</w:t>
      </w:r>
      <w:r>
        <w:t xml:space="preserve"> arrangementene vil tolkes som en kohort og de samme retningslinjene for utskiftning og blanding av kohorter vil gjelde. Det oppfordres å så godt det lar seg gjøre, skille arrangementene fra hverandre. De samme kravene til registrering</w:t>
      </w:r>
      <w:r w:rsidR="00C12B80">
        <w:t xml:space="preserve"> av tilstedeværende vil gjelde. Det vil ikke kreves rengjøring av tribune eller publikumsplasser mellom</w:t>
      </w:r>
      <w:r w:rsidR="005C7065">
        <w:t xml:space="preserve"> de forskjellige arrangementene. </w:t>
      </w:r>
      <w:r w:rsidR="005C7065" w:rsidRPr="005C7065">
        <w:rPr>
          <w:i/>
        </w:rPr>
        <w:t xml:space="preserve">Det oppfordres </w:t>
      </w:r>
      <w:r w:rsidR="005C7065">
        <w:rPr>
          <w:i/>
        </w:rPr>
        <w:t xml:space="preserve">allikevel </w:t>
      </w:r>
      <w:r w:rsidR="005C7065" w:rsidRPr="005C7065">
        <w:rPr>
          <w:i/>
        </w:rPr>
        <w:t>til at første idrettslag for dagen står for engangs renhold av tribune/publikumsplasser.</w:t>
      </w:r>
    </w:p>
    <w:p w14:paraId="7A54290F" w14:textId="279F95A6" w:rsidR="003C1AEA" w:rsidRDefault="003C1AEA" w:rsidP="003C1AEA">
      <w:pPr>
        <w:rPr>
          <w:b/>
        </w:rPr>
      </w:pPr>
      <w:r w:rsidRPr="005029F5">
        <w:rPr>
          <w:b/>
        </w:rPr>
        <w:t>Garderober</w:t>
      </w:r>
    </w:p>
    <w:p w14:paraId="5F6B9586" w14:textId="48EC657A" w:rsidR="003C1AEA" w:rsidRDefault="003C1AEA" w:rsidP="003C1AEA">
      <w:r>
        <w:t xml:space="preserve">Det oppfordres til å unngå bruk av garderober ved gjennomføring av arrangement, da det kan være utfordrende å unngå blanding av grupper og det er mange </w:t>
      </w:r>
      <w:r w:rsidR="000938B9">
        <w:t>berøringspunkter i en garderobe</w:t>
      </w:r>
      <w:r>
        <w:t xml:space="preserve">. Det oppfordres til at lag og utøvere kommer så forberedt til arrangementet som mulig, slik at bruken av garderober holdes på et minimum. Et lag vil likevel kunne behandles som en kohort, inne i en garderobe, om det er </w:t>
      </w:r>
      <w:r w:rsidR="000938B9">
        <w:t xml:space="preserve">fortsatt er </w:t>
      </w:r>
      <w:r>
        <w:t xml:space="preserve">behov for bruk av garderober. </w:t>
      </w:r>
    </w:p>
    <w:p w14:paraId="45B4EBE6" w14:textId="0D095542" w:rsidR="003C1AEA" w:rsidRDefault="003C1AEA" w:rsidP="003C1AEA">
      <w:r>
        <w:t xml:space="preserve">Det vil være ansvarlig idrettslag som er nødt til å sørge for gode rutiner for å unngå blanding av grupper. Ved bruk av garderober er arrangementsansvarlig idrettslag ansvarlig for renhold av hyppige kontaktflater i garderobene, mellom </w:t>
      </w:r>
      <w:r w:rsidR="000938B9">
        <w:t>forskjellige gruppers bruk.</w:t>
      </w:r>
    </w:p>
    <w:p w14:paraId="1AB29459" w14:textId="550B2F39" w:rsidR="00217F4C" w:rsidRPr="00217F4C" w:rsidRDefault="00217F4C">
      <w:pPr>
        <w:rPr>
          <w:b/>
        </w:rPr>
      </w:pPr>
      <w:r w:rsidRPr="00217F4C">
        <w:rPr>
          <w:b/>
        </w:rPr>
        <w:t>Publikum</w:t>
      </w:r>
    </w:p>
    <w:p w14:paraId="090A79C4" w14:textId="035C6ED6" w:rsidR="00217F4C" w:rsidRDefault="00792549">
      <w:r>
        <w:t xml:space="preserve">Publikum inngår i det totale antallet deltakere for arrangementet. Dette kan ikke overskride 200, inkludert spillere og publikum. Publikum er nødt til å overholde 1 meters avstand mellom hverandre under hele arrangementet. Det vil være opp til ansvarlig idrettslag å kontrollere antall publikum og sørge for at avstand </w:t>
      </w:r>
      <w:r w:rsidR="000938B9">
        <w:t xml:space="preserve">og retningslinjer for smittevern </w:t>
      </w:r>
      <w:r>
        <w:t xml:space="preserve">overholdes. Publikum er nødt til å benytte seg av </w:t>
      </w:r>
      <w:r w:rsidR="003C1AEA">
        <w:t>oppmerket adkomst og oppmerket toaletter. Publikum og utøvere skal holdes avskilt.</w:t>
      </w:r>
    </w:p>
    <w:p w14:paraId="06C95B10" w14:textId="526734AD" w:rsidR="005029F5" w:rsidRPr="005029F5" w:rsidRDefault="005029F5">
      <w:pPr>
        <w:rPr>
          <w:b/>
        </w:rPr>
      </w:pPr>
      <w:r>
        <w:rPr>
          <w:b/>
        </w:rPr>
        <w:t>Kiosk / Salg av mat</w:t>
      </w:r>
    </w:p>
    <w:p w14:paraId="495D8B4B" w14:textId="3BAC18A8" w:rsidR="005029F5" w:rsidRPr="005029F5" w:rsidRDefault="005029F5" w:rsidP="001F4D8C">
      <w:p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Det er lov med åpen kiosk gitt at man følger retningslinjene til FHI for serveringssteder, de mest relevante punktene </w:t>
      </w:r>
      <w:r w:rsidR="001F4D8C">
        <w:rPr>
          <w:rFonts w:eastAsia="Times New Roman" w:cstheme="minorHAnsi"/>
          <w:color w:val="131313"/>
          <w:spacing w:val="-1"/>
          <w:szCs w:val="24"/>
          <w:lang w:eastAsia="nb-NO"/>
        </w:rPr>
        <w:t xml:space="preserve">er listet opp under. Se retningslinjer </w:t>
      </w:r>
      <w:hyperlink r:id="rId9" w:history="1">
        <w:r w:rsidR="001F4D8C" w:rsidRPr="003E3F0B">
          <w:rPr>
            <w:rStyle w:val="Hyperkobling"/>
            <w:rFonts w:eastAsia="Times New Roman" w:cstheme="minorHAnsi"/>
            <w:spacing w:val="-1"/>
            <w:szCs w:val="24"/>
            <w:lang w:eastAsia="nb-NO"/>
          </w:rPr>
          <w:t>her</w:t>
        </w:r>
      </w:hyperlink>
      <w:r w:rsidR="001F4D8C">
        <w:rPr>
          <w:rFonts w:eastAsia="Times New Roman" w:cstheme="minorHAnsi"/>
          <w:color w:val="131313"/>
          <w:spacing w:val="-1"/>
          <w:szCs w:val="24"/>
          <w:lang w:eastAsia="nb-NO"/>
        </w:rPr>
        <w:t>, for mer informasjon.</w:t>
      </w:r>
    </w:p>
    <w:p w14:paraId="24B5A260" w14:textId="77777777" w:rsidR="005029F5" w:rsidRPr="005029F5" w:rsidRDefault="005029F5" w:rsidP="005029F5">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Øvre antall personer tillat i kiosken avgjøres av størrelsen på lokalet </w:t>
      </w:r>
    </w:p>
    <w:p w14:paraId="67230674" w14:textId="77777777" w:rsidR="005029F5" w:rsidRPr="005029F5" w:rsidRDefault="005029F5" w:rsidP="005029F5">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Det skal være mulig å holde minst en meters avstand </w:t>
      </w:r>
    </w:p>
    <w:p w14:paraId="45BB7837" w14:textId="77777777" w:rsidR="005029F5" w:rsidRPr="005029F5" w:rsidRDefault="005029F5" w:rsidP="005029F5">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Unngå trengsel ved inngang, utgang, kassen, bord, toalett og ellers i lokalet </w:t>
      </w:r>
    </w:p>
    <w:p w14:paraId="43FFBB49" w14:textId="77777777" w:rsidR="005029F5" w:rsidRPr="005029F5" w:rsidRDefault="005029F5" w:rsidP="005029F5">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Det må være mulig å gjennomføre god håndhygiene ved behov </w:t>
      </w:r>
    </w:p>
    <w:p w14:paraId="44C0A92D" w14:textId="77777777" w:rsidR="005029F5" w:rsidRPr="005029F5" w:rsidRDefault="005029F5" w:rsidP="005029F5">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Gode hygienerutiner er forutsatt </w:t>
      </w:r>
    </w:p>
    <w:p w14:paraId="2E26EC08" w14:textId="77777777" w:rsidR="005029F5" w:rsidRPr="005029F5" w:rsidRDefault="005029F5" w:rsidP="005029F5">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Hyppig brukte kontaktflater må rengjøres regelmessig </w:t>
      </w:r>
    </w:p>
    <w:p w14:paraId="25577028" w14:textId="7DB196B4" w:rsidR="005029F5" w:rsidRPr="00172F1C" w:rsidRDefault="005029F5" w:rsidP="00172F1C">
      <w:pPr>
        <w:numPr>
          <w:ilvl w:val="0"/>
          <w:numId w:val="2"/>
        </w:numPr>
        <w:shd w:val="clear" w:color="auto" w:fill="FFFFFF"/>
        <w:spacing w:before="100" w:beforeAutospacing="1" w:after="100" w:afterAutospacing="1" w:line="240" w:lineRule="auto"/>
        <w:rPr>
          <w:rFonts w:eastAsia="Times New Roman" w:cstheme="minorHAnsi"/>
          <w:color w:val="131313"/>
          <w:spacing w:val="-1"/>
          <w:szCs w:val="24"/>
          <w:lang w:eastAsia="nb-NO"/>
        </w:rPr>
      </w:pPr>
      <w:r w:rsidRPr="005029F5">
        <w:rPr>
          <w:rFonts w:eastAsia="Times New Roman" w:cstheme="minorHAnsi"/>
          <w:color w:val="131313"/>
          <w:spacing w:val="-1"/>
          <w:szCs w:val="24"/>
          <w:lang w:eastAsia="nb-NO"/>
        </w:rPr>
        <w:t>Buffetservering er ikke tillatt </w:t>
      </w:r>
    </w:p>
    <w:p w14:paraId="08397AE0" w14:textId="202BA491" w:rsidR="00F049D2" w:rsidRDefault="00F049D2">
      <w:pPr>
        <w:rPr>
          <w:i/>
        </w:rPr>
      </w:pPr>
    </w:p>
    <w:p w14:paraId="45550333" w14:textId="449A06F1" w:rsidR="00F049D2" w:rsidRPr="00F049D2" w:rsidRDefault="00F049D2">
      <w:pPr>
        <w:rPr>
          <w:b/>
        </w:rPr>
      </w:pPr>
      <w:r w:rsidRPr="00F049D2">
        <w:rPr>
          <w:b/>
        </w:rPr>
        <w:t>For spørsmål angående retningslinjene kan du ta kontakt med;</w:t>
      </w:r>
    </w:p>
    <w:p w14:paraId="64093499" w14:textId="00D63D23" w:rsidR="00F049D2" w:rsidRDefault="00F049D2">
      <w:r>
        <w:t>Idrettsrådgiver Carl Joacim Fensbekk</w:t>
      </w:r>
    </w:p>
    <w:p w14:paraId="3AEA683C" w14:textId="274395F2" w:rsidR="00F049D2" w:rsidRDefault="00DF74D6">
      <w:hyperlink r:id="rId10" w:history="1">
        <w:r w:rsidR="00F049D2" w:rsidRPr="00A06BCF">
          <w:rPr>
            <w:rStyle w:val="Hyperkobling"/>
          </w:rPr>
          <w:t>Carl.joacim.fensbekk@tromso.kommune.no</w:t>
        </w:r>
      </w:hyperlink>
      <w:r w:rsidR="00F40A6F">
        <w:t xml:space="preserve"> / </w:t>
      </w:r>
      <w:r w:rsidR="00F049D2">
        <w:t>48137719</w:t>
      </w:r>
    </w:p>
    <w:p w14:paraId="60928E5E" w14:textId="0F5C9BEE" w:rsidR="00F049D2" w:rsidRDefault="00F049D2">
      <w:r>
        <w:t>Driftsleder ved idrett-drift Emma Amundsen</w:t>
      </w:r>
    </w:p>
    <w:p w14:paraId="2C30C033" w14:textId="100EEAA3" w:rsidR="00F049D2" w:rsidRDefault="00DF74D6">
      <w:hyperlink r:id="rId11" w:history="1">
        <w:r w:rsidR="00F049D2" w:rsidRPr="00A06BCF">
          <w:rPr>
            <w:rStyle w:val="Hyperkobling"/>
          </w:rPr>
          <w:t>Emma.amundsen@tromso.kommune.no</w:t>
        </w:r>
      </w:hyperlink>
      <w:r w:rsidR="00F40A6F">
        <w:t xml:space="preserve"> / 90365531</w:t>
      </w:r>
    </w:p>
    <w:p w14:paraId="16D876EE" w14:textId="6569F033" w:rsidR="00F049D2" w:rsidRDefault="00F049D2">
      <w:r>
        <w:t>Konsulent, idrett drift – Sigve Nytun Fagermo</w:t>
      </w:r>
    </w:p>
    <w:p w14:paraId="2C1965FA" w14:textId="13CFFDAF" w:rsidR="00F049D2" w:rsidRDefault="00DF74D6">
      <w:hyperlink r:id="rId12" w:history="1">
        <w:r w:rsidR="00F049D2" w:rsidRPr="00A06BCF">
          <w:rPr>
            <w:rStyle w:val="Hyperkobling"/>
          </w:rPr>
          <w:t>Sigve.nytun.fagermo@tromso.kommune.no</w:t>
        </w:r>
      </w:hyperlink>
    </w:p>
    <w:p w14:paraId="36453B8F" w14:textId="77777777" w:rsidR="00F049D2" w:rsidRDefault="00F049D2"/>
    <w:p w14:paraId="69046AE7" w14:textId="77777777" w:rsidR="00F049D2" w:rsidRPr="00F049D2" w:rsidRDefault="00F049D2"/>
    <w:sectPr w:rsidR="00F049D2" w:rsidRPr="00F04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424"/>
    <w:multiLevelType w:val="multilevel"/>
    <w:tmpl w:val="09C6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11FB1"/>
    <w:multiLevelType w:val="multilevel"/>
    <w:tmpl w:val="EC9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565E0"/>
    <w:multiLevelType w:val="multilevel"/>
    <w:tmpl w:val="3F5E5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A6D84"/>
    <w:multiLevelType w:val="hybridMultilevel"/>
    <w:tmpl w:val="13201494"/>
    <w:lvl w:ilvl="0" w:tplc="CE948D1C">
      <w:start w:val="47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C3260D"/>
    <w:rsid w:val="00041238"/>
    <w:rsid w:val="000938B9"/>
    <w:rsid w:val="00100F2F"/>
    <w:rsid w:val="00112C23"/>
    <w:rsid w:val="00172F1C"/>
    <w:rsid w:val="001F4D8C"/>
    <w:rsid w:val="00217F4C"/>
    <w:rsid w:val="003C1AEA"/>
    <w:rsid w:val="003E3F0B"/>
    <w:rsid w:val="005029F5"/>
    <w:rsid w:val="00535CB9"/>
    <w:rsid w:val="005C7065"/>
    <w:rsid w:val="005D6A41"/>
    <w:rsid w:val="006A340C"/>
    <w:rsid w:val="00757EF0"/>
    <w:rsid w:val="00792549"/>
    <w:rsid w:val="0092469F"/>
    <w:rsid w:val="009722D4"/>
    <w:rsid w:val="00A81A9F"/>
    <w:rsid w:val="00AD50DE"/>
    <w:rsid w:val="00B112BE"/>
    <w:rsid w:val="00C12B80"/>
    <w:rsid w:val="00D22A0D"/>
    <w:rsid w:val="00D57850"/>
    <w:rsid w:val="00D95B9F"/>
    <w:rsid w:val="00DE3BE6"/>
    <w:rsid w:val="00DF74D6"/>
    <w:rsid w:val="00F049D2"/>
    <w:rsid w:val="00F101F5"/>
    <w:rsid w:val="00F40A6F"/>
    <w:rsid w:val="0FC326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260D"/>
  <w15:chartTrackingRefBased/>
  <w15:docId w15:val="{64B329A4-D28F-4727-9D60-89A6B88F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17F4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57EF0"/>
    <w:pPr>
      <w:ind w:left="720"/>
      <w:contextualSpacing/>
    </w:pPr>
  </w:style>
  <w:style w:type="character" w:styleId="Hyperkobling">
    <w:name w:val="Hyperlink"/>
    <w:basedOn w:val="Standardskriftforavsnitt"/>
    <w:uiPriority w:val="99"/>
    <w:unhideWhenUsed/>
    <w:rsid w:val="00F049D2"/>
    <w:rPr>
      <w:color w:val="0563C1" w:themeColor="hyperlink"/>
      <w:u w:val="single"/>
    </w:rPr>
  </w:style>
  <w:style w:type="character" w:styleId="Ulstomtale">
    <w:name w:val="Unresolved Mention"/>
    <w:basedOn w:val="Standardskriftforavsnitt"/>
    <w:uiPriority w:val="99"/>
    <w:semiHidden/>
    <w:unhideWhenUsed/>
    <w:rsid w:val="00F049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07874">
      <w:bodyDiv w:val="1"/>
      <w:marLeft w:val="0"/>
      <w:marRight w:val="0"/>
      <w:marTop w:val="0"/>
      <w:marBottom w:val="0"/>
      <w:divBdr>
        <w:top w:val="none" w:sz="0" w:space="0" w:color="auto"/>
        <w:left w:val="none" w:sz="0" w:space="0" w:color="auto"/>
        <w:bottom w:val="none" w:sz="0" w:space="0" w:color="auto"/>
        <w:right w:val="none" w:sz="0" w:space="0" w:color="auto"/>
      </w:divBdr>
    </w:div>
    <w:div w:id="1356535313">
      <w:bodyDiv w:val="1"/>
      <w:marLeft w:val="0"/>
      <w:marRight w:val="0"/>
      <w:marTop w:val="0"/>
      <w:marBottom w:val="0"/>
      <w:divBdr>
        <w:top w:val="none" w:sz="0" w:space="0" w:color="auto"/>
        <w:left w:val="none" w:sz="0" w:space="0" w:color="auto"/>
        <w:bottom w:val="none" w:sz="0" w:space="0" w:color="auto"/>
        <w:right w:val="none" w:sz="0" w:space="0" w:color="auto"/>
      </w:divBdr>
    </w:div>
    <w:div w:id="14523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nettpub/coronavirus/rad-og-informasjon-til-andre-sektorer-og-yrkesgrupper/anbefalinger-ved--store-arrangementer-knyttet-til-koronasmitte-i-norge/?term=&amp;h=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gve.nytun.fagermo@tromso.kommun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amundsen@tromso.kommune.no" TargetMode="External"/><Relationship Id="rId5" Type="http://schemas.openxmlformats.org/officeDocument/2006/relationships/styles" Target="styles.xml"/><Relationship Id="rId10" Type="http://schemas.openxmlformats.org/officeDocument/2006/relationships/hyperlink" Target="mailto:Carl.joacim.fensbekk@tromso.kommune.no" TargetMode="External"/><Relationship Id="rId4" Type="http://schemas.openxmlformats.org/officeDocument/2006/relationships/numbering" Target="numbering.xml"/><Relationship Id="rId9" Type="http://schemas.openxmlformats.org/officeDocument/2006/relationships/hyperlink" Target="https://www.fhi.no/nettpub/coronavirus/rad-og-informasjon-til-andre-sektorer-og-yrkesgrupper/rad-til-reiselivsbransjen-om-reiser-og--ferieaktiviteter-i-norge/?term=&amp;h=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B0261AB3B5884E8633CFBC69222012" ma:contentTypeVersion="13" ma:contentTypeDescription="Opprett et nytt dokument." ma:contentTypeScope="" ma:versionID="49d9dfc9c83d3529d4c6752dfb67d2d0">
  <xsd:schema xmlns:xsd="http://www.w3.org/2001/XMLSchema" xmlns:xs="http://www.w3.org/2001/XMLSchema" xmlns:p="http://schemas.microsoft.com/office/2006/metadata/properties" xmlns:ns3="46004a4d-7479-4133-b32e-820006a314dd" xmlns:ns4="043be79c-65ce-45b3-a13d-b15fdd88b12c" targetNamespace="http://schemas.microsoft.com/office/2006/metadata/properties" ma:root="true" ma:fieldsID="67a8b321207f1396dfd12ccbd350903e" ns3:_="" ns4:_="">
    <xsd:import namespace="46004a4d-7479-4133-b32e-820006a314dd"/>
    <xsd:import namespace="043be79c-65ce-45b3-a13d-b15fdd88b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4a4d-7479-4133-b32e-820006a31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be79c-65ce-45b3-a13d-b15fdd88b1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CEC04-2C8D-4008-9AA4-EEA82D50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4a4d-7479-4133-b32e-820006a314dd"/>
    <ds:schemaRef ds:uri="043be79c-65ce-45b3-a13d-b15fdd88b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59E7A-FA81-4204-827C-8422571318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004a4d-7479-4133-b32e-820006a314dd"/>
    <ds:schemaRef ds:uri="http://purl.org/dc/terms/"/>
    <ds:schemaRef ds:uri="http://schemas.openxmlformats.org/package/2006/metadata/core-properties"/>
    <ds:schemaRef ds:uri="043be79c-65ce-45b3-a13d-b15fdd88b12c"/>
    <ds:schemaRef ds:uri="http://www.w3.org/XML/1998/namespace"/>
    <ds:schemaRef ds:uri="http://purl.org/dc/dcmitype/"/>
  </ds:schemaRefs>
</ds:datastoreItem>
</file>

<file path=customXml/itemProps3.xml><?xml version="1.0" encoding="utf-8"?>
<ds:datastoreItem xmlns:ds="http://schemas.openxmlformats.org/officeDocument/2006/customXml" ds:itemID="{31B8C4CD-6234-4D55-AC9F-B466FB1E8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5570</Characters>
  <Application>Microsoft Office Word</Application>
  <DocSecurity>4</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Joacim Fensbekk</dc:creator>
  <cp:keywords/>
  <dc:description/>
  <cp:lastModifiedBy>Emma Amundsen</cp:lastModifiedBy>
  <cp:revision>2</cp:revision>
  <dcterms:created xsi:type="dcterms:W3CDTF">2020-09-30T07:44:00Z</dcterms:created>
  <dcterms:modified xsi:type="dcterms:W3CDTF">2020-09-30T07:44:00Z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0x010100FEB0261AB3B5884E8633CFBC69222012</vt:lpwstr>
  </property>
</Properties>
</file>